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Л-2</w:t>
      </w:r>
      <w:bookmarkStart w:id="0" w:name="_GoBack"/>
      <w:bookmarkEnd w:id="0"/>
    </w:p>
    <w:p>
      <w:pPr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Структурная схема электропитания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общие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понятия </w:t>
      </w:r>
    </w:p>
    <w:p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2.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Структурная схема уплощенного электроснабжения РЭА</w:t>
      </w:r>
    </w:p>
    <w:p>
      <w:pPr>
        <w:numPr>
          <w:ilvl w:val="0"/>
          <w:numId w:val="0"/>
        </w:numPr>
        <w:ind w:leftChars="0"/>
        <w:rPr>
          <w:rFonts w:ascii="Times New Roman" w:hAnsi="Times New Roman" w:cs="Times New Roman"/>
          <w:b/>
          <w:color w:val="000000"/>
          <w:sz w:val="24"/>
          <w:szCs w:val="24"/>
          <w:lang w:val="en-US" w:eastAsia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Структурная схема бесперебойного электроснабжения РЭА</w:t>
      </w:r>
    </w:p>
    <w:p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67DC8"/>
    <w:multiLevelType w:val="singleLevel"/>
    <w:tmpl w:val="60967DC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AC4516"/>
    <w:rsid w:val="341C1644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2020-04-06T10:15:46Z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